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Override PartName="/word/footnotes.xml" ContentType="application/vnd.openxmlformats-officedocument.wordprocessingml.footnotes+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spacing w:after="320"/>
        <w:ind w:left="0" w:right="0" w:firstLine="0"/>
        <w:jc w:val="left"/>
        <w:rPr>
          <w:rFonts w:ascii="Times Roman" w:cs="Times Roman" w:hAnsi="Times Roman" w:eastAsia="Times Roman"/>
          <w:b w:val="0"/>
          <w:bCs w:val="0"/>
          <w:sz w:val="32"/>
          <w:szCs w:val="32"/>
          <w:rtl w:val="0"/>
        </w:rPr>
      </w:pPr>
      <w:r>
        <w:rPr>
          <w:rFonts w:hAnsi="Arial" w:hint="default"/>
          <w:b w:val="1"/>
          <w:bCs w:val="1"/>
          <w:sz w:val="26"/>
          <w:szCs w:val="26"/>
          <w:rtl w:val="0"/>
          <w:lang w:val="en-US"/>
        </w:rPr>
        <w:t>“</w:t>
      </w:r>
      <w:r>
        <w:rPr>
          <w:rFonts w:ascii="Arial"/>
          <w:b w:val="1"/>
          <w:bCs w:val="1"/>
          <w:sz w:val="26"/>
          <w:szCs w:val="26"/>
          <w:rtl w:val="0"/>
          <w:lang w:val="nl-NL"/>
        </w:rPr>
        <w:t>Outdoor Shooting Ranges</w:t>
      </w:r>
      <w:r>
        <w:rPr>
          <w:rFonts w:ascii="Arial" w:cs="Arial" w:hAnsi="Arial" w:eastAsia="Arial"/>
          <w:b w:val="1"/>
          <w:bCs w:val="1"/>
          <w:sz w:val="26"/>
          <w:szCs w:val="26"/>
          <w:vertAlign w:val="superscript"/>
          <w:rtl w:val="0"/>
        </w:rPr>
        <w:footnoteReference w:id="1"/>
      </w:r>
    </w:p>
    <w:p>
      <w:pPr>
        <w:pStyle w:val="Default"/>
        <w:bidi w:val="0"/>
        <w:spacing w:after="320"/>
        <w:ind w:left="0" w:right="0" w:firstLine="0"/>
        <w:jc w:val="left"/>
        <w:rPr>
          <w:rFonts w:ascii="Times Roman" w:cs="Times Roman" w:hAnsi="Times Roman" w:eastAsia="Times Roman"/>
          <w:sz w:val="32"/>
          <w:szCs w:val="32"/>
          <w:rtl w:val="0"/>
        </w:rPr>
      </w:pPr>
      <w:r>
        <w:rPr>
          <w:rFonts w:ascii="Arial"/>
          <w:sz w:val="26"/>
          <w:szCs w:val="26"/>
          <w:rtl w:val="0"/>
          <w:lang w:val="en-US"/>
        </w:rPr>
        <w:t>Just as shooters at indoor ranges fired away for decades ignorant of the public health risks, so have outdoor range shooters poured millions of tons of lead downrange, ignorant (or heedless) of the damage they have been inflicting on the environment. Although human lead poisoning is less of a problem at outdoor ranges, negative effects on the environment are far greater. Lead bullets and shot used in outdoor shooting ranges present at least three dangers to the environment:</w:t>
      </w:r>
    </w:p>
    <w:p>
      <w:pPr>
        <w:pStyle w:val="Default"/>
        <w:tabs>
          <w:tab w:val="left" w:pos="220"/>
          <w:tab w:val="left" w:pos="720"/>
        </w:tabs>
        <w:bidi w:val="0"/>
        <w:ind w:left="720" w:right="0" w:hanging="720"/>
        <w:jc w:val="left"/>
        <w:rPr>
          <w:rFonts w:ascii="Times Roman" w:cs="Times Roman" w:hAnsi="Times Roman" w:eastAsia="Times Roman"/>
          <w:sz w:val="32"/>
          <w:szCs w:val="32"/>
          <w:rtl w:val="0"/>
        </w:rPr>
      </w:pPr>
      <w:r>
        <w:rPr>
          <w:rFonts w:ascii="Arial" w:cs="Arial" w:hAnsi="Arial" w:eastAsia="Arial"/>
          <w:sz w:val="26"/>
          <w:szCs w:val="26"/>
          <w:rtl w:val="0"/>
        </w:rPr>
        <w:tab/>
        <w:t>•</w:t>
        <w:tab/>
      </w:r>
      <w:r>
        <w:rPr>
          <w:rFonts w:ascii="Arial"/>
          <w:sz w:val="26"/>
          <w:szCs w:val="26"/>
          <w:rtl w:val="0"/>
          <w:lang w:val="en-US"/>
        </w:rPr>
        <w:t xml:space="preserve">poisoning of wildlife, especially waterfowl, that ingest lead pellets; </w:t>
      </w:r>
      <w:r>
        <w:rPr>
          <w:rFonts w:ascii="Arial" w:cs="Arial" w:hAnsi="Arial" w:eastAsia="Arial"/>
          <w:sz w:val="26"/>
          <w:szCs w:val="26"/>
          <w:rtl w:val="0"/>
        </w:rPr>
        <w:br w:type="textWrapping"/>
      </w:r>
    </w:p>
    <w:p>
      <w:pPr>
        <w:pStyle w:val="Default"/>
        <w:tabs>
          <w:tab w:val="left" w:pos="220"/>
          <w:tab w:val="left" w:pos="720"/>
        </w:tabs>
        <w:bidi w:val="0"/>
        <w:ind w:left="720" w:right="0" w:hanging="720"/>
        <w:jc w:val="left"/>
        <w:rPr>
          <w:rFonts w:ascii="Times Roman" w:cs="Times Roman" w:hAnsi="Times Roman" w:eastAsia="Times Roman"/>
          <w:sz w:val="32"/>
          <w:szCs w:val="32"/>
          <w:rtl w:val="0"/>
        </w:rPr>
      </w:pPr>
      <w:r>
        <w:rPr>
          <w:rFonts w:ascii="Arial" w:cs="Arial" w:hAnsi="Arial" w:eastAsia="Arial"/>
          <w:sz w:val="26"/>
          <w:szCs w:val="26"/>
          <w:rtl w:val="0"/>
        </w:rPr>
        <w:tab/>
        <w:t>•</w:t>
        <w:tab/>
      </w:r>
      <w:r>
        <w:rPr>
          <w:rFonts w:ascii="Arial"/>
          <w:sz w:val="26"/>
          <w:szCs w:val="26"/>
          <w:rtl w:val="0"/>
          <w:lang w:val="en-US"/>
        </w:rPr>
        <w:t xml:space="preserve">contamination of ground water, poisoning wells and other water sources; and, </w:t>
      </w:r>
      <w:r>
        <w:rPr>
          <w:rFonts w:ascii="Arial" w:cs="Arial" w:hAnsi="Arial" w:eastAsia="Arial"/>
          <w:sz w:val="26"/>
          <w:szCs w:val="26"/>
          <w:rtl w:val="0"/>
        </w:rPr>
        <w:br w:type="textWrapping"/>
      </w:r>
    </w:p>
    <w:p>
      <w:pPr>
        <w:pStyle w:val="Default"/>
        <w:tabs>
          <w:tab w:val="left" w:pos="220"/>
          <w:tab w:val="left" w:pos="720"/>
        </w:tabs>
        <w:bidi w:val="0"/>
        <w:ind w:left="720" w:right="0" w:hanging="720"/>
        <w:jc w:val="left"/>
        <w:rPr>
          <w:rFonts w:ascii="Times Roman" w:cs="Times Roman" w:hAnsi="Times Roman" w:eastAsia="Times Roman"/>
          <w:sz w:val="32"/>
          <w:szCs w:val="32"/>
          <w:rtl w:val="0"/>
        </w:rPr>
      </w:pPr>
      <w:r>
        <w:rPr>
          <w:rFonts w:ascii="Arial" w:cs="Arial" w:hAnsi="Arial" w:eastAsia="Arial"/>
          <w:sz w:val="26"/>
          <w:szCs w:val="26"/>
          <w:rtl w:val="0"/>
        </w:rPr>
        <w:tab/>
        <w:t>•</w:t>
        <w:tab/>
      </w:r>
      <w:r>
        <w:rPr>
          <w:rFonts w:ascii="Arial"/>
          <w:sz w:val="26"/>
          <w:szCs w:val="26"/>
          <w:rtl w:val="0"/>
          <w:lang w:val="en-US"/>
        </w:rPr>
        <w:t>contamination of wetlands or waterways into which lead falls.</w:t>
      </w:r>
    </w:p>
    <w:p>
      <w:pPr>
        <w:pStyle w:val="Default"/>
        <w:bidi w:val="0"/>
        <w:spacing w:after="320"/>
        <w:ind w:left="0" w:right="0" w:firstLine="0"/>
        <w:jc w:val="left"/>
        <w:rPr>
          <w:rFonts w:ascii="Times Roman" w:cs="Times Roman" w:hAnsi="Times Roman" w:eastAsia="Times Roman"/>
          <w:sz w:val="32"/>
          <w:szCs w:val="32"/>
          <w:rtl w:val="0"/>
        </w:rPr>
      </w:pPr>
      <w:r>
        <w:rPr>
          <w:rFonts w:ascii="Arial"/>
          <w:sz w:val="26"/>
          <w:szCs w:val="26"/>
          <w:rtl w:val="0"/>
          <w:lang w:val="en-US"/>
        </w:rPr>
        <w:t>Shotgun shell casing, wads, and assorted packaging materials can also contain lead, chemicals, and other materials potentially harmful to the environment.</w:t>
      </w:r>
      <w:r>
        <w:rPr>
          <w:rFonts w:ascii="Arial"/>
          <w:sz w:val="22"/>
          <w:szCs w:val="22"/>
          <w:vertAlign w:val="superscript"/>
          <w:rtl w:val="0"/>
        </w:rPr>
        <w:t>65</w:t>
      </w:r>
      <w:r>
        <w:rPr>
          <w:rFonts w:ascii="Arial"/>
          <w:sz w:val="26"/>
          <w:szCs w:val="26"/>
          <w:rtl w:val="0"/>
          <w:lang w:val="en-US"/>
        </w:rPr>
        <w:t xml:space="preserve"> For example, certain polycyclic aromatic hydrocarbons found in clay targets are said to be known carcinogens.</w:t>
      </w:r>
      <w:r>
        <w:rPr>
          <w:rFonts w:ascii="Arial"/>
          <w:sz w:val="22"/>
          <w:szCs w:val="22"/>
          <w:vertAlign w:val="superscript"/>
          <w:rtl w:val="0"/>
        </w:rPr>
        <w:t>66</w:t>
      </w:r>
      <w:r>
        <w:rPr>
          <w:rFonts w:ascii="Arial"/>
          <w:sz w:val="26"/>
          <w:szCs w:val="26"/>
          <w:rtl w:val="0"/>
          <w:lang w:val="en-US"/>
        </w:rPr>
        <w:t xml:space="preserve"> (It is worth noting that shotgun shooters rejected a biodegradable clay target Winchester tried to market because</w:t>
      </w:r>
      <w:r>
        <mc:AlternateContent>
          <mc:Choice Requires="wps">
            <w:drawing>
              <wp:anchor distT="152400" distB="152400" distL="152400" distR="152400" simplePos="0" relativeHeight="251659264" behindDoc="0" locked="0" layoutInCell="1" allowOverlap="1">
                <wp:simplePos x="0" y="0"/>
                <wp:positionH relativeFrom="page">
                  <wp:posOffset>1078547</wp:posOffset>
                </wp:positionH>
                <wp:positionV relativeFrom="page">
                  <wp:posOffset>8878490</wp:posOffset>
                </wp:positionV>
                <wp:extent cx="5988011" cy="98941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5988011" cy="98941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pPr>
                              <w:pStyle w:val="Default"/>
                              <w:bidi w:val="0"/>
                              <w:spacing w:after="320"/>
                              <w:ind w:left="0" w:right="0" w:firstLine="0"/>
                              <w:jc w:val="left"/>
                              <w:rPr>
                                <w:rtl w:val="0"/>
                              </w:rPr>
                            </w:pPr>
                            <w:r>
                              <w:rPr>
                                <w:rFonts w:hAnsi="Arial" w:hint="default"/>
                                <w:sz w:val="26"/>
                                <w:szCs w:val="26"/>
                                <w:rtl w:val="0"/>
                                <w:lang w:val="en-US"/>
                              </w:rPr>
                              <w:t>“</w:t>
                            </w:r>
                            <w:r>
                              <w:rPr>
                                <w:rFonts w:ascii="Arial"/>
                                <w:sz w:val="26"/>
                                <w:szCs w:val="26"/>
                                <w:rtl w:val="0"/>
                                <w:lang w:val="en-US"/>
                              </w:rPr>
                              <w:t>Poisonous Pastime:  The Health Risks of Shooting Ranges and Lead to Children, Families and the Environment.</w:t>
                            </w:r>
                            <w:r>
                              <w:rPr>
                                <w:rFonts w:hAnsi="Arial" w:hint="default"/>
                                <w:sz w:val="26"/>
                                <w:szCs w:val="26"/>
                                <w:rtl w:val="0"/>
                                <w:lang w:val="en-US"/>
                              </w:rPr>
                              <w:t>”</w:t>
                            </w:r>
                            <w:r>
                              <w:rPr>
                                <w:rFonts w:ascii="Arial"/>
                                <w:sz w:val="26"/>
                                <w:szCs w:val="26"/>
                                <w:rtl w:val="0"/>
                              </w:rPr>
                              <w:t xml:space="preserve"> </w:t>
                            </w:r>
                            <w:r>
                              <w:rPr>
                                <w:rFonts w:ascii="Arial"/>
                                <w:sz w:val="26"/>
                                <w:szCs w:val="26"/>
                                <w:rtl w:val="0"/>
                                <w:lang w:val="en-US"/>
                              </w:rPr>
                              <w:t>Violence Policy Center</w:t>
                            </w:r>
                            <w:r>
                              <w:rPr>
                                <w:rFonts w:ascii="Arial"/>
                                <w:sz w:val="26"/>
                                <w:szCs w:val="26"/>
                                <w:rtl w:val="0"/>
                              </w:rPr>
                              <w:t xml:space="preserve">, </w:t>
                            </w:r>
                            <w:r>
                              <w:rPr>
                                <w:rFonts w:ascii="Arial"/>
                                <w:sz w:val="26"/>
                                <w:szCs w:val="26"/>
                                <w:rtl w:val="0"/>
                                <w:lang w:val="en-US"/>
                              </w:rPr>
                              <w:t>2001.</w:t>
                            </w:r>
                            <w:r>
                              <w:rPr>
                                <w:rFonts w:ascii="Arial"/>
                                <w:sz w:val="26"/>
                                <w:szCs w:val="26"/>
                                <w:rtl w:val="0"/>
                              </w:rPr>
                              <w:t xml:space="preserve"> Web. </w:t>
                            </w:r>
                            <w:r>
                              <w:rPr>
                                <w:rFonts w:ascii="Arial"/>
                                <w:sz w:val="26"/>
                                <w:szCs w:val="26"/>
                                <w:rtl w:val="0"/>
                                <w:lang w:val="en-US"/>
                              </w:rPr>
                              <w:t xml:space="preserve">03 April 2014 </w:t>
                            </w:r>
                            <w:r>
                              <w:rPr>
                                <w:rFonts w:ascii="Arial"/>
                                <w:sz w:val="26"/>
                                <w:szCs w:val="26"/>
                                <w:rtl w:val="0"/>
                              </w:rPr>
                              <w:t xml:space="preserve">&lt; </w:t>
                            </w:r>
                            <w:hyperlink r:id="rId4" w:history="1">
                              <w:r>
                                <w:rPr>
                                  <w:rStyle w:val="Hyperlink.0"/>
                                  <w:rFonts w:ascii="Arial"/>
                                  <w:sz w:val="26"/>
                                  <w:szCs w:val="26"/>
                                  <w:rtl w:val="0"/>
                                  <w:lang w:val="en-US"/>
                                </w:rPr>
                                <w:t>https://www.vpc.org/studies/leadone.htm</w:t>
                              </w:r>
                            </w:hyperlink>
                            <w:r>
                              <w:rPr>
                                <w:rFonts w:ascii="Arial"/>
                                <w:sz w:val="26"/>
                                <w:szCs w:val="26"/>
                                <w:rtl w:val="0"/>
                              </w:rPr>
                              <w:t xml:space="preserve"> &gt;.</w:t>
                            </w:r>
                            <w:r>
                              <w:rPr>
                                <w:rFonts w:ascii="Arial" w:cs="Arial" w:hAnsi="Arial" w:eastAsia="Arial"/>
                                <w:sz w:val="26"/>
                                <w:szCs w:val="26"/>
                                <w:rtl w:val="0"/>
                              </w:rPr>
                            </w:r>
                          </w:p>
                        </w:txbxContent>
                      </wps:txbx>
                      <wps:bodyPr rot="0" spcFirstLastPara="1" vertOverflow="overflow" horzOverflow="overflow" vert="horz" wrap="square" lIns="50800" tIns="50800" rIns="50800" bIns="50800" numCol="1" spcCol="38100" rtlCol="0" anchor="t" upright="0">
                        <a:prstTxWarp prst="textNoShape"/>
                        <a:noAutofit/>
                      </wps:bodyPr>
                    </wps:wsp>
                  </a:graphicData>
                </a:graphic>
              </wp:anchor>
            </w:drawing>
          </mc:Choice>
          <mc:Fallback>
            <w:pict>
              <v:shape id="_x0000_s1026" style="visibility:visible;position:absolute;margin-left:84.9pt;margin-top:699.1pt;width:471.5pt;height:77.9pt;z-index:251659264;mso-position-horizontal:absolute;mso-position-horizontal-relative:page;mso-position-vertical:absolute;mso-position-vertical-relative:page;mso-wrap-distance-left:12.0pt;mso-wrap-distance-top:12.0pt;mso-wrap-distance-right:12.0pt;mso-wrap-distance-bottom:12.0pt;" coordorigin="0,0" coordsize="21600,21600" path="M 0,0 L 21600,0 L 21600,21600 L 0,21600 X E">
                <v:fill on="f"/>
                <v:stroke on="f" weight="1.0pt" dashstyle="solid" endcap="flat" miterlimit="400.0%" joinstyle="miter" linestyle="single"/>
                <v:textbox>
                  <w:txbxContent>
                    <w:p>
                      <w:pPr>
                        <w:pStyle w:val="Default"/>
                        <w:bidi w:val="0"/>
                        <w:spacing w:after="320"/>
                        <w:ind w:left="0" w:right="0" w:firstLine="0"/>
                        <w:jc w:val="left"/>
                        <w:rPr>
                          <w:rtl w:val="0"/>
                        </w:rPr>
                      </w:pPr>
                      <w:r>
                        <w:rPr>
                          <w:rFonts w:hAnsi="Arial" w:hint="default"/>
                          <w:sz w:val="26"/>
                          <w:szCs w:val="26"/>
                          <w:rtl w:val="0"/>
                          <w:lang w:val="en-US"/>
                        </w:rPr>
                        <w:t>“</w:t>
                      </w:r>
                      <w:r>
                        <w:rPr>
                          <w:rFonts w:ascii="Arial"/>
                          <w:sz w:val="26"/>
                          <w:szCs w:val="26"/>
                          <w:rtl w:val="0"/>
                          <w:lang w:val="en-US"/>
                        </w:rPr>
                        <w:t>Poisonous Pastime:  The Health Risks of Shooting Ranges and Lead to Children, Families and the Environment.</w:t>
                      </w:r>
                      <w:r>
                        <w:rPr>
                          <w:rFonts w:hAnsi="Arial" w:hint="default"/>
                          <w:sz w:val="26"/>
                          <w:szCs w:val="26"/>
                          <w:rtl w:val="0"/>
                          <w:lang w:val="en-US"/>
                        </w:rPr>
                        <w:t>”</w:t>
                      </w:r>
                      <w:r>
                        <w:rPr>
                          <w:rFonts w:ascii="Arial"/>
                          <w:sz w:val="26"/>
                          <w:szCs w:val="26"/>
                          <w:rtl w:val="0"/>
                        </w:rPr>
                        <w:t xml:space="preserve"> </w:t>
                      </w:r>
                      <w:r>
                        <w:rPr>
                          <w:rFonts w:ascii="Arial"/>
                          <w:sz w:val="26"/>
                          <w:szCs w:val="26"/>
                          <w:rtl w:val="0"/>
                          <w:lang w:val="en-US"/>
                        </w:rPr>
                        <w:t>Violence Policy Center</w:t>
                      </w:r>
                      <w:r>
                        <w:rPr>
                          <w:rFonts w:ascii="Arial"/>
                          <w:sz w:val="26"/>
                          <w:szCs w:val="26"/>
                          <w:rtl w:val="0"/>
                        </w:rPr>
                        <w:t xml:space="preserve">, </w:t>
                      </w:r>
                      <w:r>
                        <w:rPr>
                          <w:rFonts w:ascii="Arial"/>
                          <w:sz w:val="26"/>
                          <w:szCs w:val="26"/>
                          <w:rtl w:val="0"/>
                          <w:lang w:val="en-US"/>
                        </w:rPr>
                        <w:t>2001.</w:t>
                      </w:r>
                      <w:r>
                        <w:rPr>
                          <w:rFonts w:ascii="Arial"/>
                          <w:sz w:val="26"/>
                          <w:szCs w:val="26"/>
                          <w:rtl w:val="0"/>
                        </w:rPr>
                        <w:t xml:space="preserve"> Web. </w:t>
                      </w:r>
                      <w:r>
                        <w:rPr>
                          <w:rFonts w:ascii="Arial"/>
                          <w:sz w:val="26"/>
                          <w:szCs w:val="26"/>
                          <w:rtl w:val="0"/>
                          <w:lang w:val="en-US"/>
                        </w:rPr>
                        <w:t xml:space="preserve">03 April 2014 </w:t>
                      </w:r>
                      <w:r>
                        <w:rPr>
                          <w:rFonts w:ascii="Arial"/>
                          <w:sz w:val="26"/>
                          <w:szCs w:val="26"/>
                          <w:rtl w:val="0"/>
                        </w:rPr>
                        <w:t xml:space="preserve">&lt; </w:t>
                      </w:r>
                      <w:hyperlink r:id="rId4" w:history="1">
                        <w:r>
                          <w:rPr>
                            <w:rStyle w:val="Hyperlink.0"/>
                            <w:rFonts w:ascii="Arial"/>
                            <w:sz w:val="26"/>
                            <w:szCs w:val="26"/>
                            <w:rtl w:val="0"/>
                            <w:lang w:val="en-US"/>
                          </w:rPr>
                          <w:t>https://www.vpc.org/studies/leadone.htm</w:t>
                        </w:r>
                      </w:hyperlink>
                      <w:r>
                        <w:rPr>
                          <w:rFonts w:ascii="Arial"/>
                          <w:sz w:val="26"/>
                          <w:szCs w:val="26"/>
                          <w:rtl w:val="0"/>
                        </w:rPr>
                        <w:t xml:space="preserve"> &gt;.</w:t>
                      </w:r>
                      <w:r>
                        <w:rPr>
                          <w:rFonts w:ascii="Arial" w:cs="Arial" w:hAnsi="Arial" w:eastAsia="Arial"/>
                          <w:sz w:val="26"/>
                          <w:szCs w:val="26"/>
                          <w:rtl w:val="0"/>
                        </w:rPr>
                      </w:r>
                    </w:p>
                  </w:txbxContent>
                </v:textbox>
                <w10:wrap type="topAndBottom" side="bothSides" anchorx="page" anchory="page"/>
              </v:shape>
            </w:pict>
          </mc:Fallback>
        </mc:AlternateContent>
      </w:r>
      <w:r>
        <w:rPr>
          <w:rFonts w:ascii="Arial"/>
          <w:sz w:val="26"/>
          <w:szCs w:val="26"/>
          <w:rtl w:val="0"/>
          <w:lang w:val="en-US"/>
        </w:rPr>
        <w:t xml:space="preserve"> it discharged white smoke when hit rather than the black smoke they were used to.)</w:t>
      </w:r>
      <w:r>
        <w:rPr>
          <w:rFonts w:ascii="Arial"/>
          <w:sz w:val="22"/>
          <w:szCs w:val="22"/>
          <w:vertAlign w:val="superscript"/>
          <w:rtl w:val="0"/>
        </w:rPr>
        <w:t>67</w:t>
      </w:r>
    </w:p>
    <w:p>
      <w:pPr>
        <w:pStyle w:val="Default"/>
        <w:bidi w:val="0"/>
        <w:spacing w:after="320"/>
        <w:ind w:left="0" w:right="0" w:firstLine="0"/>
        <w:jc w:val="left"/>
        <w:rPr>
          <w:rFonts w:ascii="Times Roman" w:cs="Times Roman" w:hAnsi="Times Roman" w:eastAsia="Times Roman"/>
          <w:sz w:val="32"/>
          <w:szCs w:val="32"/>
          <w:rtl w:val="0"/>
        </w:rPr>
      </w:pPr>
      <w:r>
        <w:rPr>
          <w:rFonts w:ascii="Arial"/>
          <w:sz w:val="26"/>
          <w:szCs w:val="26"/>
          <w:rtl w:val="0"/>
          <w:lang w:val="en-US"/>
        </w:rPr>
        <w:t>Dealing with these problems is complicated by the esoteric nature of the state and federal laws and regulations protecting the environment.</w:t>
      </w:r>
      <w:r>
        <w:rPr>
          <w:rFonts w:ascii="Arial"/>
          <w:sz w:val="22"/>
          <w:szCs w:val="22"/>
          <w:vertAlign w:val="superscript"/>
          <w:rtl w:val="0"/>
        </w:rPr>
        <w:t>k</w:t>
      </w:r>
      <w:r>
        <w:rPr>
          <w:rFonts w:ascii="Arial"/>
          <w:sz w:val="26"/>
          <w:szCs w:val="26"/>
          <w:rtl w:val="0"/>
          <w:lang w:val="en-US"/>
        </w:rPr>
        <w:t xml:space="preserve"> Several key issues of federal environmental law have been roughly focused in a handful of shooting range cases litigated to conclusion. But the NSSF notes that the relatively low number of reported law cases is not a true measure of the activity going on because "many shooting range cases are resolved in the early stages of litigation through consent orders under which the ranges agree to close down and perform further environmental investigations and cleanup at the range."</w:t>
      </w:r>
      <w:r>
        <w:rPr>
          <w:rFonts w:ascii="Arial"/>
          <w:sz w:val="22"/>
          <w:szCs w:val="22"/>
          <w:vertAlign w:val="superscript"/>
          <w:rtl w:val="0"/>
        </w:rPr>
        <w:t>68</w:t>
      </w:r>
    </w:p>
    <w:p>
      <w:pPr>
        <w:pStyle w:val="Default"/>
        <w:bidi w:val="0"/>
        <w:spacing w:after="320"/>
        <w:ind w:left="0" w:right="0" w:firstLine="0"/>
        <w:jc w:val="left"/>
        <w:rPr>
          <w:rFonts w:ascii="Arial" w:cs="Arial" w:hAnsi="Arial" w:eastAsia="Arial"/>
          <w:sz w:val="26"/>
          <w:szCs w:val="26"/>
          <w:rtl w:val="0"/>
        </w:rPr>
      </w:pPr>
      <w:r>
        <w:rPr>
          <w:rFonts w:ascii="Arial"/>
          <w:sz w:val="26"/>
          <w:szCs w:val="26"/>
          <w:rtl w:val="0"/>
          <w:lang w:val="en-US"/>
        </w:rPr>
        <w:t>Three federal laws have been found to be especially relevant to outdoor shooting ranges: the Clean Water Act (CWA),</w:t>
      </w:r>
      <w:r>
        <w:rPr>
          <w:rFonts w:ascii="Arial"/>
          <w:sz w:val="22"/>
          <w:szCs w:val="22"/>
          <w:vertAlign w:val="superscript"/>
          <w:rtl w:val="0"/>
        </w:rPr>
        <w:t>l</w:t>
      </w:r>
      <w:r>
        <w:rPr>
          <w:rFonts w:ascii="Arial"/>
          <w:sz w:val="26"/>
          <w:szCs w:val="26"/>
          <w:rtl w:val="0"/>
          <w:lang w:val="en-US"/>
        </w:rPr>
        <w:t xml:space="preserve"> the Resource Conservation and Recovery Act (RCRA),</w:t>
      </w:r>
      <w:r>
        <w:rPr>
          <w:rFonts w:ascii="Arial"/>
          <w:sz w:val="22"/>
          <w:szCs w:val="22"/>
          <w:vertAlign w:val="superscript"/>
          <w:rtl w:val="0"/>
        </w:rPr>
        <w:t>m</w:t>
      </w:r>
      <w:r>
        <w:rPr>
          <w:rFonts w:ascii="Arial"/>
          <w:sz w:val="26"/>
          <w:szCs w:val="26"/>
          <w:rtl w:val="0"/>
          <w:lang w:val="en-US"/>
        </w:rPr>
        <w:t xml:space="preserve"> and the Comprehensive Environmental Response, Compensation and Liability Act (CERCLA or "Superfund").</w:t>
      </w:r>
      <w:r>
        <w:rPr>
          <w:rFonts w:ascii="Arial"/>
          <w:sz w:val="22"/>
          <w:szCs w:val="22"/>
          <w:vertAlign w:val="superscript"/>
          <w:rtl w:val="0"/>
        </w:rPr>
        <w:t>n</w:t>
      </w:r>
      <w:r>
        <w:rPr>
          <w:rFonts w:ascii="Arial"/>
          <w:sz w:val="26"/>
          <w:szCs w:val="26"/>
          <w:rtl w:val="0"/>
          <w:lang w:val="en-US"/>
        </w:rPr>
        <w:t xml:space="preserve"> Other federal laws may apply to a particular case, and state protections may be more stringent than the applicable federal laws.</w:t>
      </w:r>
      <w:r>
        <w:rPr>
          <w:rFonts w:hAnsi="Arial" w:hint="default"/>
          <w:sz w:val="26"/>
          <w:szCs w:val="26"/>
          <w:rtl w:val="0"/>
          <w:lang w:val="en-US"/>
        </w:rPr>
        <w: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Roman">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w:bidi w:val="0"/>
      </w:pPr>
      <w:r>
        <w:rPr>
          <w:vertAlign w:val="superscript"/>
        </w:rPr>
        <w:footnoteRef/>
      </w:r>
      <w:r>
        <w:rPr>
          <w:rFonts w:ascii="Helvetica" w:cs="Arial Unicode MS" w:hAnsi="Arial Unicode MS" w:eastAsia="Arial Unicode MS"/>
          <w:rtl w:val="0"/>
        </w:rPr>
        <w:t xml:space="preserve"> </w:t>
      </w:r>
    </w:p>
  </w:footnote>
</w:footnotes>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footnotePr>
    <w:numFmt w:val="decimal"/>
    <w:numStart w:val="1"/>
    <w:numRestart w:val="continuous"/>
    <w:footnote w:id="-1"/>
    <w:footnote w:id="0"/>
    <w:footnote w:id="-2"/>
  </w:footnotePr>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Helvetica" w:eastAsia="Arial Unicode MS" w:hint="default"/>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s://www.vpc.org/studies/leadone.htm" TargetMode="External"/><Relationship Id="rId5" Type="http://schemas.openxmlformats.org/officeDocument/2006/relationships/header" Target="header.xml"/><Relationship Id="rId6" Type="http://schemas.openxmlformats.org/officeDocument/2006/relationships/footer" Target="footer.xml"/><Relationship Id="rId7" Type="http://schemas.openxmlformats.org/officeDocument/2006/relationships/footnotes" Target="footnotes.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